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566B8" w:rsidRDefault="000566B8" w:rsidP="000566B8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0566B8">
        <w:rPr>
          <w:rFonts w:ascii="sөũ" w:hAnsi="sөũ" w:hint="eastAsia"/>
          <w:b/>
          <w:bCs/>
          <w:spacing w:val="15"/>
          <w:sz w:val="30"/>
          <w:szCs w:val="30"/>
        </w:rPr>
        <w:t>威刚</w:t>
      </w:r>
      <w:r w:rsidRPr="000566B8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0566B8">
        <w:rPr>
          <w:rFonts w:ascii="sөũ" w:hAnsi="sөũ" w:hint="eastAsia"/>
          <w:b/>
          <w:bCs/>
          <w:spacing w:val="15"/>
          <w:sz w:val="30"/>
          <w:szCs w:val="30"/>
        </w:rPr>
        <w:t>年上半年损益表，每股亏损</w:t>
      </w:r>
      <w:r w:rsidRPr="000566B8">
        <w:rPr>
          <w:rFonts w:ascii="sөũ" w:hAnsi="sөũ" w:hint="eastAsia"/>
          <w:b/>
          <w:bCs/>
          <w:spacing w:val="15"/>
          <w:sz w:val="30"/>
          <w:szCs w:val="30"/>
        </w:rPr>
        <w:t>0.07</w:t>
      </w:r>
      <w:r w:rsidRPr="000566B8">
        <w:rPr>
          <w:rFonts w:ascii="sөũ" w:hAnsi="sөũ" w:hint="eastAsia"/>
          <w:b/>
          <w:bCs/>
          <w:spacing w:val="15"/>
          <w:sz w:val="30"/>
          <w:szCs w:val="30"/>
        </w:rPr>
        <w:t>元</w:t>
      </w: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06"/>
      </w:tblGrid>
      <w:tr w:rsidR="000566B8" w:rsidRPr="000566B8">
        <w:trPr>
          <w:tblCellSpacing w:w="30" w:type="dxa"/>
        </w:trPr>
        <w:tc>
          <w:tcPr>
            <w:tcW w:w="0" w:type="auto"/>
            <w:vAlign w:val="center"/>
            <w:hideMark/>
          </w:tcPr>
          <w:p w:rsidR="000566B8" w:rsidRPr="000566B8" w:rsidRDefault="000566B8" w:rsidP="000566B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0566B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威刚</w:t>
            </w:r>
            <w:r w:rsidRPr="000566B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(3260) </w:t>
            </w:r>
            <w:r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0566B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0566B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0566B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上半年</w:t>
            </w:r>
            <w:r w:rsidRPr="000566B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0566B8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损益表</w:t>
            </w:r>
          </w:p>
        </w:tc>
      </w:tr>
      <w:tr w:rsidR="000566B8" w:rsidRPr="000566B8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60"/>
              <w:gridCol w:w="1320"/>
              <w:gridCol w:w="675"/>
              <w:gridCol w:w="1320"/>
              <w:gridCol w:w="675"/>
            </w:tblGrid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单位：新台币仟元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14,631,267.00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22,486,832.00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101.08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102,718.00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219,868.00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0.99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销货折让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71,857.00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115,334.00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0.52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14,456,692.00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22,151,630.00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99.57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加工收入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81,750.00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95,146.00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81,750.00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95,146.00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14,538,442.00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22,246,776.00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13,702,966.00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21,677,326.00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97.44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加工成本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47,921.00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41,675.00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47,921.00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41,675.00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13,750,887.00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21,719,001.00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97.63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营业毛利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毛损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787,555.00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527,775.00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2.37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联属公司间已实现利益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21,173.00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推销费用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264,020.00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219,207.00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0.99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管理及总务费用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245,087.00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222,693.00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研究发展费用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55,350.00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32,837.00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营业费用合计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564,457.00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474,737.00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2.13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营业净利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223,098.00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74,211.00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0.33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6,878.00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17,309.00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投资收益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257,819.00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1.16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权益法认列之投资收益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257,819.00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1.16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处分投资利益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2,687.00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54,240.00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64,105.00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0.29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11,789.00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坏帐转回利益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6,643.00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22,457.00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82,237.00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363,291.00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1.63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44,369.00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19,293.00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采权益法认列之投资损失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175,292.00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投资损失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175,292.00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处分固定资产损失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20,883.00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金融资产评价损失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61,656.00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155,139.00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金融负债评价损失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11,603.00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6,770.00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3,203.00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317,052.00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182,711.00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0.82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继续营业单位税前净利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-11,717.00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254,791.00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1.15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所得税费用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2,993.00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217,363.00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0.98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-14,710.00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37,428.00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本期净利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-14,710.00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37,428.00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0566B8" w:rsidRPr="000566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66B8" w:rsidRPr="000566B8" w:rsidRDefault="000566B8" w:rsidP="000566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0566B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0566B8" w:rsidRPr="000566B8" w:rsidRDefault="000566B8" w:rsidP="000566B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0566B8" w:rsidRDefault="000566B8"/>
    <w:sectPr w:rsidR="0005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A1" w:rsidRDefault="00CF32A1" w:rsidP="000566B8">
      <w:r>
        <w:separator/>
      </w:r>
    </w:p>
  </w:endnote>
  <w:endnote w:type="continuationSeparator" w:id="1">
    <w:p w:rsidR="00CF32A1" w:rsidRDefault="00CF32A1" w:rsidP="0005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A1" w:rsidRDefault="00CF32A1" w:rsidP="000566B8">
      <w:r>
        <w:separator/>
      </w:r>
    </w:p>
  </w:footnote>
  <w:footnote w:type="continuationSeparator" w:id="1">
    <w:p w:rsidR="00CF32A1" w:rsidRDefault="00CF32A1" w:rsidP="00056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6B8"/>
    <w:rsid w:val="000566B8"/>
    <w:rsid w:val="00CF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6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Company>ChinaFlashMarket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2011-08-31T03:25:00Z</dcterms:created>
  <dcterms:modified xsi:type="dcterms:W3CDTF">2011-08-31T03:27:00Z</dcterms:modified>
</cp:coreProperties>
</file>