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2F4" w:rsidRPr="00C532F4" w:rsidRDefault="00C532F4" w:rsidP="00C532F4">
      <w:pPr>
        <w:widowControl/>
        <w:spacing w:line="270" w:lineRule="atLeast"/>
        <w:jc w:val="center"/>
        <w:rPr>
          <w:rFonts w:ascii="Arial" w:eastAsia="宋体" w:hAnsi="Arial" w:cs="Arial"/>
          <w:kern w:val="0"/>
          <w:sz w:val="18"/>
          <w:szCs w:val="18"/>
          <w:lang/>
        </w:rPr>
      </w:pPr>
      <w:r>
        <w:rPr>
          <w:rFonts w:ascii="Arial" w:eastAsia="宋体" w:hAnsi="Arial" w:cs="Arial"/>
          <w:noProof/>
          <w:kern w:val="0"/>
          <w:sz w:val="18"/>
          <w:szCs w:val="18"/>
        </w:rPr>
        <w:drawing>
          <wp:inline distT="0" distB="0" distL="0" distR="0">
            <wp:extent cx="3048000" cy="828675"/>
            <wp:effectExtent l="19050" t="0" r="0" b="0"/>
            <wp:docPr id="1" name="图片 1" descr="Micron Technology,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n Technology, Inc."/>
                    <pic:cNvPicPr>
                      <a:picLocks noChangeAspect="1" noChangeArrowheads="1"/>
                    </pic:cNvPicPr>
                  </pic:nvPicPr>
                  <pic:blipFill>
                    <a:blip r:embed="rId6"/>
                    <a:srcRect/>
                    <a:stretch>
                      <a:fillRect/>
                    </a:stretch>
                  </pic:blipFill>
                  <pic:spPr bwMode="auto">
                    <a:xfrm>
                      <a:off x="0" y="0"/>
                      <a:ext cx="3048000" cy="828675"/>
                    </a:xfrm>
                    <a:prstGeom prst="rect">
                      <a:avLst/>
                    </a:prstGeom>
                    <a:noFill/>
                    <a:ln w="9525">
                      <a:noFill/>
                      <a:miter lim="800000"/>
                      <a:headEnd/>
                      <a:tailEnd/>
                    </a:ln>
                  </pic:spPr>
                </pic:pic>
              </a:graphicData>
            </a:graphic>
          </wp:inline>
        </w:drawing>
      </w:r>
    </w:p>
    <w:p w:rsidR="00C532F4" w:rsidRPr="00C532F4" w:rsidRDefault="00C532F4" w:rsidP="00C532F4">
      <w:pPr>
        <w:widowControl/>
        <w:jc w:val="center"/>
        <w:rPr>
          <w:rFonts w:ascii="Arial" w:eastAsia="宋体" w:hAnsi="Arial" w:cs="Arial"/>
          <w:kern w:val="0"/>
          <w:sz w:val="18"/>
          <w:szCs w:val="18"/>
          <w:lang/>
        </w:rPr>
      </w:pPr>
    </w:p>
    <w:p w:rsidR="00C532F4" w:rsidRPr="00C532F4" w:rsidRDefault="00C532F4" w:rsidP="00C532F4">
      <w:pPr>
        <w:widowControl/>
        <w:shd w:val="clear" w:color="auto" w:fill="FFFFFF"/>
        <w:spacing w:before="75" w:line="270" w:lineRule="atLeast"/>
        <w:jc w:val="left"/>
        <w:outlineLvl w:val="1"/>
        <w:rPr>
          <w:rFonts w:ascii="Arial" w:eastAsia="宋体" w:hAnsi="Arial" w:cs="Arial"/>
          <w:b/>
          <w:bCs/>
          <w:color w:val="000000"/>
          <w:kern w:val="36"/>
          <w:sz w:val="24"/>
          <w:szCs w:val="24"/>
          <w:lang/>
        </w:rPr>
      </w:pPr>
      <w:r w:rsidRPr="00C532F4">
        <w:rPr>
          <w:rFonts w:ascii="Arial" w:eastAsia="宋体" w:hAnsi="Arial" w:cs="Arial"/>
          <w:b/>
          <w:bCs/>
          <w:color w:val="000000"/>
          <w:kern w:val="36"/>
          <w:sz w:val="24"/>
          <w:szCs w:val="24"/>
          <w:lang/>
        </w:rPr>
        <w:t>Micron Technology, Inc., Reports Results for the Second Quarter of Fiscal 2013</w:t>
      </w:r>
    </w:p>
    <w:p w:rsidR="00C532F4" w:rsidRPr="00C532F4" w:rsidRDefault="00C532F4" w:rsidP="00C532F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C532F4">
        <w:rPr>
          <w:rFonts w:ascii="Arial" w:eastAsia="宋体" w:hAnsi="Arial" w:cs="Arial"/>
          <w:kern w:val="0"/>
          <w:sz w:val="18"/>
          <w:szCs w:val="18"/>
          <w:lang/>
        </w:rPr>
        <w:t>Micron Technology, Inc., (Nasdaq:MU) today announced results of operations for its second quarter of fiscal 2013, which ended February 28, 2013. For the second quarter, the company had a net loss attributable to Micron shareholders of $286 million, or $0.28 per diluted share, on net sales of $2.1 billion. The results for the second quarter of fiscal 2013 compare to a net loss of $275 million, or $0.27 per diluted share, on net sales of $1.8 billion for the first quarter of fiscal 2013, and a net loss of $282 million, or $0.29 per diluted share, on net sales of $2.0 billion for the second quarter of fiscal 2012.</w:t>
      </w:r>
    </w:p>
    <w:p w:rsidR="00C532F4" w:rsidRPr="00C532F4" w:rsidRDefault="00C532F4" w:rsidP="00C532F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C532F4">
        <w:rPr>
          <w:rFonts w:ascii="Arial" w:eastAsia="宋体" w:hAnsi="Arial" w:cs="Arial"/>
          <w:kern w:val="0"/>
          <w:sz w:val="18"/>
          <w:szCs w:val="18"/>
          <w:lang/>
        </w:rPr>
        <w:t>Results of operations for the second quarter of fiscal 2013 include losses of $120 million from changes in the market value of the company's currency hedges entered into in connection with its planned acquisition of Elpida Memory, Inc. and Rexchip Electronics Corporation. The results also include a loss of $62 million associated with the expected sale of the company's 200 millimeter wafer fabrication facility in Avezzano, Italy, in the first half of calendar 2013.</w:t>
      </w:r>
    </w:p>
    <w:p w:rsidR="00C532F4" w:rsidRPr="00C532F4" w:rsidRDefault="00C532F4" w:rsidP="00C532F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C532F4">
        <w:rPr>
          <w:rFonts w:ascii="Arial" w:eastAsia="宋体" w:hAnsi="Arial" w:cs="Arial"/>
          <w:kern w:val="0"/>
          <w:sz w:val="18"/>
          <w:szCs w:val="18"/>
          <w:lang/>
        </w:rPr>
        <w:t>The company's consolidated gross margin improved to 18 percent in the second quarter of fiscal 2013 compared to 12 percent in the first quarter of fiscal 2013. Gross margin improvements were realized from sales of NAND Flash products and from sales of DRAM products due to decreases in manufacturing costs.</w:t>
      </w:r>
    </w:p>
    <w:p w:rsidR="00C532F4" w:rsidRPr="00C532F4" w:rsidRDefault="00C532F4" w:rsidP="00C532F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C532F4">
        <w:rPr>
          <w:rFonts w:ascii="Arial" w:eastAsia="宋体" w:hAnsi="Arial" w:cs="Arial"/>
          <w:kern w:val="0"/>
          <w:sz w:val="18"/>
          <w:szCs w:val="18"/>
          <w:lang/>
        </w:rPr>
        <w:t>"We were pleased with the overall improvement in our operational performance and excited to see the effects of our restructured partnership with Inotera drive bit shipment growth during the quarter. We believe the resultant increase in capacity from existing industry production will provide us the scale we need to reinforce our leadership position," said Micron CEO Mark Durcan.</w:t>
      </w:r>
    </w:p>
    <w:p w:rsidR="00C532F4" w:rsidRPr="00C532F4" w:rsidRDefault="00C532F4" w:rsidP="00C532F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C532F4">
        <w:rPr>
          <w:rFonts w:ascii="Arial" w:eastAsia="宋体" w:hAnsi="Arial" w:cs="Arial"/>
          <w:kern w:val="0"/>
          <w:sz w:val="18"/>
          <w:szCs w:val="18"/>
          <w:lang/>
        </w:rPr>
        <w:t>Revenues from sales of DRAM products in the second quarter of fiscal 2013 were 24 percent higher compared to the first quarter of fiscal 2013, due to a 38 percent increase in sales volume partially offset by a 10 percent decrease in average selling prices. Revenues from sales of NAND Flash products were 8 percent higher in the second quarter of fiscal 2013 compared to the first quarter of fiscal 2013, primarily due to a 13 percent increase in Trade NAND Flash sales volume. Sales of NOR Flash products were 14 percent lower in the second quarter of fiscal 2013, compared to the first quarter of fiscal 2013, due to decreases in sales volumes and average selling prices.</w:t>
      </w:r>
    </w:p>
    <w:p w:rsidR="00C532F4" w:rsidRPr="00C532F4" w:rsidRDefault="00C532F4" w:rsidP="00C532F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C532F4">
        <w:rPr>
          <w:rFonts w:ascii="Arial" w:eastAsia="宋体" w:hAnsi="Arial" w:cs="Arial"/>
          <w:kern w:val="0"/>
          <w:sz w:val="18"/>
          <w:szCs w:val="18"/>
          <w:lang/>
        </w:rPr>
        <w:t>Cash flows from operations for the first six months of fiscal 2013 were $470 million, while investments in capital expenditures were $891 million. In the second quarter of fiscal 2013, the company issued $600 million of convertible senior notes. In connection therewith, the company used $477 million to repurchase a portion of its 2014 notes. The company ended the quarter with cash and investments of $2.8 billion.</w:t>
      </w:r>
    </w:p>
    <w:p w:rsidR="00C532F4" w:rsidRPr="00C532F4" w:rsidRDefault="00C532F4" w:rsidP="00C532F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C532F4">
        <w:rPr>
          <w:rFonts w:ascii="Arial" w:eastAsia="宋体" w:hAnsi="Arial" w:cs="Arial"/>
          <w:kern w:val="0"/>
          <w:sz w:val="18"/>
          <w:szCs w:val="18"/>
          <w:lang/>
        </w:rPr>
        <w:lastRenderedPageBreak/>
        <w:t>The company will host a conference call Thursday, March 21 at 2:30 p.m. MDT to discuss its financial results. The call, audio and slides will be available online at. A webcast replay will be available on the company's website until March 28, 2014. A taped audio replay of the conference call will also be available at 1-404-537-3406 or 1-855-859-2056 (conference number: 21046896) beginning at 5:30 p.m. MDT, Thursday, March 21, 2013 and continuing until 5:30 p.m. MDT, Thursday, March 28, 2013.</w:t>
      </w:r>
    </w:p>
    <w:p w:rsidR="00C532F4" w:rsidRPr="00C532F4" w:rsidRDefault="00C532F4" w:rsidP="00C532F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C532F4">
        <w:rPr>
          <w:rFonts w:ascii="Arial" w:eastAsia="宋体" w:hAnsi="Arial" w:cs="Arial"/>
          <w:kern w:val="0"/>
          <w:sz w:val="18"/>
          <w:szCs w:val="18"/>
          <w:lang/>
        </w:rPr>
        <w:t>Micron Technology, Inc., is one of the world's leading providers of advanced semiconductor solutions. Through its worldwide operations, Micron manufactures and markets a full range of DRAM, NAND Flash and NOR Flash memory, as well as other innovative memory technologies, packaging solutions and semiconductor systems for use in leading-edge computing, consumer, networking, embedded and mobile products. Micron's common stock is traded on the NASDAQ under the MU symbol. To learn more about Micron Technology, Inc.</w:t>
      </w:r>
    </w:p>
    <w:tbl>
      <w:tblPr>
        <w:tblW w:w="0" w:type="auto"/>
        <w:tblCellSpacing w:w="45" w:type="dxa"/>
        <w:tblCellMar>
          <w:left w:w="0" w:type="dxa"/>
          <w:right w:w="0" w:type="dxa"/>
        </w:tblCellMar>
        <w:tblLook w:val="04A0"/>
      </w:tblPr>
      <w:tblGrid>
        <w:gridCol w:w="4088"/>
        <w:gridCol w:w="781"/>
        <w:gridCol w:w="781"/>
        <w:gridCol w:w="781"/>
        <w:gridCol w:w="854"/>
        <w:gridCol w:w="842"/>
      </w:tblGrid>
      <w:tr w:rsidR="00C532F4" w:rsidRPr="00C532F4" w:rsidTr="00C532F4">
        <w:trPr>
          <w:tblCellSpacing w:w="45" w:type="dxa"/>
        </w:trPr>
        <w:tc>
          <w:tcPr>
            <w:tcW w:w="0" w:type="auto"/>
            <w:gridSpan w:val="6"/>
            <w:vAlign w:val="center"/>
            <w:hideMark/>
          </w:tcPr>
          <w:p w:rsidR="00C532F4" w:rsidRPr="00C532F4" w:rsidRDefault="00C532F4" w:rsidP="00C532F4">
            <w:pPr>
              <w:widowControl/>
              <w:jc w:val="center"/>
              <w:rPr>
                <w:rFonts w:ascii="Arial" w:eastAsia="宋体" w:hAnsi="Arial" w:cs="Arial"/>
                <w:kern w:val="0"/>
                <w:sz w:val="18"/>
                <w:szCs w:val="18"/>
              </w:rPr>
            </w:pPr>
            <w:r w:rsidRPr="00C532F4">
              <w:rPr>
                <w:rFonts w:ascii="Arial" w:eastAsia="宋体" w:hAnsi="Arial" w:cs="Arial"/>
                <w:b/>
                <w:bCs/>
                <w:kern w:val="0"/>
                <w:sz w:val="18"/>
              </w:rPr>
              <w:t>MICRON TECHNOLOGY, INC.</w:t>
            </w:r>
            <w:r w:rsidRPr="00C532F4">
              <w:rPr>
                <w:rFonts w:ascii="Arial" w:eastAsia="宋体" w:hAnsi="Arial" w:cs="Arial"/>
                <w:kern w:val="0"/>
                <w:sz w:val="18"/>
                <w:szCs w:val="18"/>
              </w:rPr>
              <w:br/>
            </w:r>
            <w:r w:rsidRPr="00C532F4">
              <w:rPr>
                <w:rFonts w:ascii="Arial" w:eastAsia="宋体" w:hAnsi="Arial" w:cs="Arial"/>
                <w:b/>
                <w:bCs/>
                <w:kern w:val="0"/>
                <w:sz w:val="18"/>
              </w:rPr>
              <w:t>CONSOLIDATED FINANCIAL SUMMARY</w:t>
            </w:r>
            <w:r w:rsidRPr="00C532F4">
              <w:rPr>
                <w:rFonts w:ascii="Arial" w:eastAsia="宋体" w:hAnsi="Arial" w:cs="Arial"/>
                <w:kern w:val="0"/>
                <w:sz w:val="18"/>
                <w:szCs w:val="18"/>
              </w:rPr>
              <w:br/>
            </w:r>
            <w:r w:rsidRPr="00C532F4">
              <w:rPr>
                <w:rFonts w:ascii="Arial" w:eastAsia="宋体" w:hAnsi="Arial" w:cs="Arial"/>
                <w:b/>
                <w:bCs/>
                <w:kern w:val="0"/>
                <w:sz w:val="18"/>
              </w:rPr>
              <w:t>(in millions except per share amounts)</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gridSpan w:val="2"/>
            <w:vAlign w:val="bottom"/>
            <w:hideMark/>
          </w:tcPr>
          <w:p w:rsidR="00C532F4" w:rsidRPr="00C532F4" w:rsidRDefault="00C532F4" w:rsidP="00C532F4">
            <w:pPr>
              <w:widowControl/>
              <w:jc w:val="left"/>
              <w:rPr>
                <w:rFonts w:ascii="Arial" w:eastAsia="宋体" w:hAnsi="Arial" w:cs="Arial"/>
                <w:kern w:val="0"/>
                <w:sz w:val="18"/>
                <w:szCs w:val="18"/>
              </w:rPr>
            </w:pP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2nd Qtr.</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1st Qtr.</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2nd Qtr.</w:t>
            </w:r>
          </w:p>
        </w:tc>
        <w:tc>
          <w:tcPr>
            <w:tcW w:w="0" w:type="auto"/>
            <w:gridSpan w:val="2"/>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Six Months Ended</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Feb. 28,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Nov. 29,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Mar. 1,</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Feb. 28,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Mar. 1,</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2013</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2012</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2012</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2013</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2012</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Net sales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$ 2,078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$ 1,834</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$ 2,009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$ 3,912</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$ 4,099</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Cost of goods sold</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1,712</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1,617</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1,799</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3,329</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3,584</w:t>
            </w:r>
          </w:p>
        </w:tc>
      </w:tr>
      <w:tr w:rsidR="00C532F4" w:rsidRPr="00C532F4" w:rsidTr="00C532F4">
        <w:trPr>
          <w:tblCellSpacing w:w="45" w:type="dxa"/>
        </w:trPr>
        <w:tc>
          <w:tcPr>
            <w:tcW w:w="0" w:type="auto"/>
            <w:tcMar>
              <w:top w:w="0" w:type="dxa"/>
              <w:left w:w="150" w:type="dxa"/>
              <w:bottom w:w="0" w:type="dxa"/>
              <w:right w:w="0" w:type="dxa"/>
            </w:tcMar>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Gross margin</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366</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217</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210</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583</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515</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Selling, general and administrative</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123</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119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174</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242</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325</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 xml:space="preserve">Research and development </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214</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224</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222</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438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452</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Other operating (income) expense, net (1)(2)</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52</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(29)</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18</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23</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13</w:t>
            </w:r>
          </w:p>
        </w:tc>
      </w:tr>
      <w:tr w:rsidR="00C532F4" w:rsidRPr="00C532F4" w:rsidTr="00C532F4">
        <w:trPr>
          <w:tblCellSpacing w:w="45" w:type="dxa"/>
        </w:trPr>
        <w:tc>
          <w:tcPr>
            <w:tcW w:w="0" w:type="auto"/>
            <w:tcMar>
              <w:top w:w="0" w:type="dxa"/>
              <w:left w:w="150" w:type="dxa"/>
              <w:bottom w:w="0" w:type="dxa"/>
              <w:right w:w="0" w:type="dxa"/>
            </w:tcMar>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Operating loss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(23)</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(97)</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(204)</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(120)</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(275)</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Interest income (expense), net</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(53)</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(54)</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(33)</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(107)</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(66)</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Other non-operating income (expense), net (2)</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(159)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(59)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37</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(218)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26</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Income tax (provision) benefit (3)</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(13)</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(9 )</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(4 )</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(7)</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Equity in net losses of equity method investees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(58)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(52)</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(73)</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(110)</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(147)</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Net income attributable to noncontrolling interests</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w:t>
            </w:r>
          </w:p>
        </w:tc>
      </w:tr>
      <w:tr w:rsidR="00C532F4" w:rsidRPr="00C532F4" w:rsidTr="00C532F4">
        <w:trPr>
          <w:tblCellSpacing w:w="45" w:type="dxa"/>
        </w:trPr>
        <w:tc>
          <w:tcPr>
            <w:tcW w:w="0" w:type="auto"/>
            <w:tcMar>
              <w:top w:w="0" w:type="dxa"/>
              <w:left w:w="150" w:type="dxa"/>
              <w:bottom w:w="0" w:type="dxa"/>
              <w:right w:w="0" w:type="dxa"/>
            </w:tcMar>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Net loss attributable to Micron</w:t>
            </w:r>
          </w:p>
        </w:tc>
        <w:tc>
          <w:tcPr>
            <w:tcW w:w="0" w:type="auto"/>
            <w:tcBorders>
              <w:bottom w:val="double" w:sz="6"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(286)</w:t>
            </w:r>
          </w:p>
        </w:tc>
        <w:tc>
          <w:tcPr>
            <w:tcW w:w="0" w:type="auto"/>
            <w:tcBorders>
              <w:bottom w:val="double" w:sz="6"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(275)</w:t>
            </w:r>
          </w:p>
        </w:tc>
        <w:tc>
          <w:tcPr>
            <w:tcW w:w="0" w:type="auto"/>
            <w:tcBorders>
              <w:bottom w:val="double" w:sz="6"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(282)</w:t>
            </w:r>
          </w:p>
        </w:tc>
        <w:tc>
          <w:tcPr>
            <w:tcW w:w="0" w:type="auto"/>
            <w:tcBorders>
              <w:bottom w:val="double" w:sz="6"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(561)</w:t>
            </w:r>
          </w:p>
        </w:tc>
        <w:tc>
          <w:tcPr>
            <w:tcW w:w="0" w:type="auto"/>
            <w:tcBorders>
              <w:bottom w:val="double" w:sz="6"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(469)</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Loss per share:</w:t>
            </w: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r>
      <w:tr w:rsidR="00C532F4" w:rsidRPr="00C532F4" w:rsidTr="00C532F4">
        <w:trPr>
          <w:tblCellSpacing w:w="45" w:type="dxa"/>
        </w:trPr>
        <w:tc>
          <w:tcPr>
            <w:tcW w:w="0" w:type="auto"/>
            <w:tcMar>
              <w:top w:w="0" w:type="dxa"/>
              <w:left w:w="150" w:type="dxa"/>
              <w:bottom w:w="0" w:type="dxa"/>
              <w:right w:w="0" w:type="dxa"/>
            </w:tcMar>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Basic</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(0.28)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(0.27)</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(0.29)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(0.55)</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(0.48)</w:t>
            </w:r>
          </w:p>
        </w:tc>
      </w:tr>
      <w:tr w:rsidR="00C532F4" w:rsidRPr="00C532F4" w:rsidTr="00C532F4">
        <w:trPr>
          <w:tblCellSpacing w:w="45" w:type="dxa"/>
        </w:trPr>
        <w:tc>
          <w:tcPr>
            <w:tcW w:w="0" w:type="auto"/>
            <w:tcMar>
              <w:top w:w="0" w:type="dxa"/>
              <w:left w:w="150" w:type="dxa"/>
              <w:bottom w:w="0" w:type="dxa"/>
              <w:right w:w="0" w:type="dxa"/>
            </w:tcMar>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Diluted</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(0.28)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(0.27)</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(0.29)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(0.55)</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(0.48)</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Number of shares used in per share calculations:</w:t>
            </w: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r>
      <w:tr w:rsidR="00C532F4" w:rsidRPr="00C532F4" w:rsidTr="00C532F4">
        <w:trPr>
          <w:tblCellSpacing w:w="45" w:type="dxa"/>
        </w:trPr>
        <w:tc>
          <w:tcPr>
            <w:tcW w:w="0" w:type="auto"/>
            <w:tcMar>
              <w:top w:w="0" w:type="dxa"/>
              <w:left w:w="150" w:type="dxa"/>
              <w:bottom w:w="0" w:type="dxa"/>
              <w:right w:w="0" w:type="dxa"/>
            </w:tcMar>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lastRenderedPageBreak/>
              <w:t>Basic</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1,016.0</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1,013.7</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982.8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1,014.9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982.1</w:t>
            </w:r>
          </w:p>
        </w:tc>
      </w:tr>
      <w:tr w:rsidR="00C532F4" w:rsidRPr="00C532F4" w:rsidTr="00C532F4">
        <w:trPr>
          <w:tblCellSpacing w:w="45" w:type="dxa"/>
        </w:trPr>
        <w:tc>
          <w:tcPr>
            <w:tcW w:w="0" w:type="auto"/>
            <w:tcMar>
              <w:top w:w="0" w:type="dxa"/>
              <w:left w:w="150" w:type="dxa"/>
              <w:bottom w:w="0" w:type="dxa"/>
              <w:right w:w="0" w:type="dxa"/>
            </w:tcMar>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Diluted</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1,016.0</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1,013.7</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982.8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1,014.9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982.1</w:t>
            </w:r>
          </w:p>
        </w:tc>
      </w:tr>
    </w:tbl>
    <w:p w:rsidR="00C532F4" w:rsidRPr="00C532F4" w:rsidRDefault="00C532F4" w:rsidP="00C532F4">
      <w:pPr>
        <w:widowControl/>
        <w:shd w:val="clear" w:color="auto" w:fill="FFFFFF"/>
        <w:spacing w:line="270" w:lineRule="atLeast"/>
        <w:jc w:val="left"/>
        <w:rPr>
          <w:rFonts w:ascii="Arial" w:eastAsia="宋体" w:hAnsi="Arial" w:cs="Arial"/>
          <w:vanish/>
          <w:kern w:val="0"/>
          <w:sz w:val="18"/>
          <w:szCs w:val="18"/>
          <w:lang/>
        </w:rPr>
      </w:pPr>
    </w:p>
    <w:tbl>
      <w:tblPr>
        <w:tblW w:w="0" w:type="auto"/>
        <w:tblCellSpacing w:w="45" w:type="dxa"/>
        <w:tblCellMar>
          <w:left w:w="0" w:type="dxa"/>
          <w:right w:w="0" w:type="dxa"/>
        </w:tblCellMar>
        <w:tblLook w:val="04A0"/>
      </w:tblPr>
      <w:tblGrid>
        <w:gridCol w:w="3418"/>
        <w:gridCol w:w="761"/>
        <w:gridCol w:w="820"/>
        <w:gridCol w:w="876"/>
      </w:tblGrid>
      <w:tr w:rsidR="00C532F4" w:rsidRPr="00C532F4" w:rsidTr="00C532F4">
        <w:trPr>
          <w:tblCellSpacing w:w="45" w:type="dxa"/>
        </w:trPr>
        <w:tc>
          <w:tcPr>
            <w:tcW w:w="0" w:type="auto"/>
            <w:gridSpan w:val="4"/>
            <w:vAlign w:val="bottom"/>
            <w:hideMark/>
          </w:tcPr>
          <w:p w:rsidR="00C532F4" w:rsidRPr="00C532F4" w:rsidRDefault="00C532F4" w:rsidP="00C532F4">
            <w:pPr>
              <w:widowControl/>
              <w:jc w:val="left"/>
              <w:rPr>
                <w:rFonts w:ascii="Arial" w:eastAsia="宋体" w:hAnsi="Arial" w:cs="Arial"/>
                <w:kern w:val="0"/>
                <w:sz w:val="18"/>
                <w:szCs w:val="18"/>
              </w:rPr>
            </w:pPr>
          </w:p>
        </w:tc>
      </w:tr>
      <w:tr w:rsidR="00C532F4" w:rsidRPr="00C532F4" w:rsidTr="00C532F4">
        <w:trPr>
          <w:tblCellSpacing w:w="45" w:type="dxa"/>
        </w:trPr>
        <w:tc>
          <w:tcPr>
            <w:tcW w:w="0" w:type="auto"/>
            <w:gridSpan w:val="4"/>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b/>
                <w:bCs/>
                <w:kern w:val="0"/>
                <w:sz w:val="18"/>
              </w:rPr>
              <w:t>CONSOLIDATED FINANCIAL SUMMARY, Continued</w:t>
            </w:r>
          </w:p>
        </w:tc>
      </w:tr>
      <w:tr w:rsidR="00C532F4" w:rsidRPr="00C532F4" w:rsidTr="00C532F4">
        <w:trPr>
          <w:tblCellSpacing w:w="45" w:type="dxa"/>
        </w:trPr>
        <w:tc>
          <w:tcPr>
            <w:tcW w:w="0" w:type="auto"/>
            <w:gridSpan w:val="4"/>
            <w:vAlign w:val="bottom"/>
            <w:hideMark/>
          </w:tcPr>
          <w:p w:rsidR="00C532F4" w:rsidRPr="00C532F4" w:rsidRDefault="00C532F4" w:rsidP="00C532F4">
            <w:pPr>
              <w:widowControl/>
              <w:jc w:val="left"/>
              <w:rPr>
                <w:rFonts w:ascii="Arial" w:eastAsia="宋体" w:hAnsi="Arial" w:cs="Arial"/>
                <w:kern w:val="0"/>
                <w:sz w:val="18"/>
                <w:szCs w:val="18"/>
              </w:rPr>
            </w:pP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gridSpan w:val="3"/>
            <w:vAlign w:val="center"/>
            <w:hideMark/>
          </w:tcPr>
          <w:p w:rsidR="00C532F4" w:rsidRPr="00C532F4" w:rsidRDefault="00C532F4" w:rsidP="00C532F4">
            <w:pPr>
              <w:widowControl/>
              <w:jc w:val="center"/>
              <w:rPr>
                <w:rFonts w:ascii="Arial" w:eastAsia="宋体" w:hAnsi="Arial" w:cs="Arial"/>
                <w:kern w:val="0"/>
                <w:sz w:val="18"/>
                <w:szCs w:val="18"/>
              </w:rPr>
            </w:pPr>
            <w:r w:rsidRPr="00C532F4">
              <w:rPr>
                <w:rFonts w:ascii="Arial" w:eastAsia="宋体" w:hAnsi="Arial" w:cs="Arial"/>
                <w:b/>
                <w:bCs/>
                <w:kern w:val="0"/>
                <w:sz w:val="18"/>
              </w:rPr>
              <w:t>As of</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Feb. 28,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Nov. 29,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Aug. 30,</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2013</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2012</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2012</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Cash and short-term investments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$ 2,228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$ 2,271</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$ 2,559</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Receivables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1,226</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1,139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1,289</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Inventories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1,721</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1,831</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1,812</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Total current assets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5,364</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5,315</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5,758</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Long-term marketable investments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546</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527</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374</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Property, plant and equipment, net</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6,973</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7,199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7,103</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Total assets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13,912</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14,067</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14,328</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Accounts payable and accrued expenses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1,498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1,584</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1,641</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Current portion of long-term debt</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350</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266</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224</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Total current liabilities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2,117</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2,138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2,243</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Long-term debt (4)(5)</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3,301</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3,169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3,038</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Total Micron shareholders' equity</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7,231</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7,469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7,700</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Noncontrolling interests in subsidiaries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729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717</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717</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Total equity (4)(5)</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7,960</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8,186</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8,417</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p>
        </w:tc>
      </w:tr>
      <w:tr w:rsidR="00C532F4" w:rsidRPr="00C532F4" w:rsidTr="00C532F4">
        <w:trPr>
          <w:tblCellSpacing w:w="45" w:type="dxa"/>
        </w:trPr>
        <w:tc>
          <w:tcPr>
            <w:tcW w:w="0" w:type="auto"/>
            <w:gridSpan w:val="2"/>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gridSpan w:val="2"/>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Six Months Ended</w:t>
            </w:r>
          </w:p>
        </w:tc>
      </w:tr>
      <w:tr w:rsidR="00C532F4" w:rsidRPr="00C532F4" w:rsidTr="00C532F4">
        <w:trPr>
          <w:tblCellSpacing w:w="45" w:type="dxa"/>
        </w:trPr>
        <w:tc>
          <w:tcPr>
            <w:tcW w:w="0" w:type="auto"/>
            <w:gridSpan w:val="2"/>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Feb. 28,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Mar. 1,</w:t>
            </w:r>
          </w:p>
        </w:tc>
      </w:tr>
      <w:tr w:rsidR="00C532F4" w:rsidRPr="00C532F4" w:rsidTr="00C532F4">
        <w:trPr>
          <w:tblCellSpacing w:w="45" w:type="dxa"/>
        </w:trPr>
        <w:tc>
          <w:tcPr>
            <w:tcW w:w="0" w:type="auto"/>
            <w:gridSpan w:val="2"/>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2013</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2012</w:t>
            </w:r>
          </w:p>
        </w:tc>
      </w:tr>
      <w:tr w:rsidR="00C532F4" w:rsidRPr="00C532F4" w:rsidTr="00C532F4">
        <w:trPr>
          <w:tblCellSpacing w:w="45" w:type="dxa"/>
        </w:trPr>
        <w:tc>
          <w:tcPr>
            <w:tcW w:w="0" w:type="auto"/>
            <w:gridSpan w:val="2"/>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r>
      <w:tr w:rsidR="00C532F4" w:rsidRPr="00C532F4" w:rsidTr="00C532F4">
        <w:trPr>
          <w:tblCellSpacing w:w="45" w:type="dxa"/>
        </w:trPr>
        <w:tc>
          <w:tcPr>
            <w:tcW w:w="0" w:type="auto"/>
            <w:gridSpan w:val="2"/>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Net cash provided by operating activities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$ 470</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$ 978</w:t>
            </w:r>
          </w:p>
        </w:tc>
      </w:tr>
      <w:tr w:rsidR="00C532F4" w:rsidRPr="00C532F4" w:rsidTr="00C532F4">
        <w:trPr>
          <w:tblCellSpacing w:w="45" w:type="dxa"/>
        </w:trPr>
        <w:tc>
          <w:tcPr>
            <w:tcW w:w="0" w:type="auto"/>
            <w:gridSpan w:val="2"/>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Net cash used for investing activities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(999)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(1,183)</w:t>
            </w:r>
          </w:p>
        </w:tc>
      </w:tr>
      <w:tr w:rsidR="00C532F4" w:rsidRPr="00C532F4" w:rsidTr="00C532F4">
        <w:trPr>
          <w:tblCellSpacing w:w="45" w:type="dxa"/>
        </w:trPr>
        <w:tc>
          <w:tcPr>
            <w:tcW w:w="0" w:type="auto"/>
            <w:gridSpan w:val="2"/>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Net cash provided by financing activities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131</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139</w:t>
            </w:r>
          </w:p>
        </w:tc>
      </w:tr>
      <w:tr w:rsidR="00C532F4" w:rsidRPr="00C532F4" w:rsidTr="00C532F4">
        <w:trPr>
          <w:tblCellSpacing w:w="45" w:type="dxa"/>
        </w:trPr>
        <w:tc>
          <w:tcPr>
            <w:tcW w:w="0" w:type="auto"/>
            <w:gridSpan w:val="2"/>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r>
      <w:tr w:rsidR="00C532F4" w:rsidRPr="00C532F4" w:rsidTr="00C532F4">
        <w:trPr>
          <w:tblCellSpacing w:w="45" w:type="dxa"/>
        </w:trPr>
        <w:tc>
          <w:tcPr>
            <w:tcW w:w="0" w:type="auto"/>
            <w:gridSpan w:val="2"/>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Depreciation and amortization</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970</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1,167</w:t>
            </w:r>
          </w:p>
        </w:tc>
      </w:tr>
      <w:tr w:rsidR="00C532F4" w:rsidRPr="00C532F4" w:rsidTr="00C532F4">
        <w:trPr>
          <w:tblCellSpacing w:w="45" w:type="dxa"/>
        </w:trPr>
        <w:tc>
          <w:tcPr>
            <w:tcW w:w="0" w:type="auto"/>
            <w:gridSpan w:val="2"/>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Expenditures for property, plant and equipment</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(761)</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(1,089)</w:t>
            </w:r>
          </w:p>
        </w:tc>
      </w:tr>
      <w:tr w:rsidR="00C532F4" w:rsidRPr="00C532F4" w:rsidTr="00C532F4">
        <w:trPr>
          <w:tblCellSpacing w:w="45" w:type="dxa"/>
        </w:trPr>
        <w:tc>
          <w:tcPr>
            <w:tcW w:w="0" w:type="auto"/>
            <w:gridSpan w:val="2"/>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Payments on equipment purchase contracts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(130)</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(86)</w:t>
            </w:r>
          </w:p>
        </w:tc>
      </w:tr>
      <w:tr w:rsidR="00C532F4" w:rsidRPr="00C532F4" w:rsidTr="00C532F4">
        <w:trPr>
          <w:tblCellSpacing w:w="45" w:type="dxa"/>
        </w:trPr>
        <w:tc>
          <w:tcPr>
            <w:tcW w:w="0" w:type="auto"/>
            <w:gridSpan w:val="2"/>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r>
    </w:tbl>
    <w:p w:rsidR="00C532F4" w:rsidRPr="00C532F4" w:rsidRDefault="00C532F4" w:rsidP="00C532F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C532F4">
        <w:rPr>
          <w:rFonts w:ascii="Arial" w:eastAsia="宋体" w:hAnsi="Arial" w:cs="Arial"/>
          <w:kern w:val="0"/>
          <w:sz w:val="18"/>
          <w:szCs w:val="18"/>
          <w:lang/>
        </w:rPr>
        <w:br/>
        <w:t>(1) Other operating (income) expense consisted of the following:</w:t>
      </w:r>
    </w:p>
    <w:tbl>
      <w:tblPr>
        <w:tblW w:w="0" w:type="auto"/>
        <w:tblCellSpacing w:w="45" w:type="dxa"/>
        <w:tblCellMar>
          <w:left w:w="0" w:type="dxa"/>
          <w:right w:w="0" w:type="dxa"/>
        </w:tblCellMar>
        <w:tblLook w:val="04A0"/>
      </w:tblPr>
      <w:tblGrid>
        <w:gridCol w:w="4447"/>
        <w:gridCol w:w="781"/>
        <w:gridCol w:w="781"/>
        <w:gridCol w:w="781"/>
        <w:gridCol w:w="885"/>
        <w:gridCol w:w="811"/>
      </w:tblGrid>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2nd Qtr.</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1st Qtr.</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2nd Qtr.</w:t>
            </w:r>
          </w:p>
        </w:tc>
        <w:tc>
          <w:tcPr>
            <w:tcW w:w="0" w:type="auto"/>
            <w:gridSpan w:val="2"/>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Six Months Ended</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Feb. 28,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Nov. 29,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Mar. 1,</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Feb. 28,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Mar. 1,</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2013</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2012</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2012</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2013</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2012</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Loss on impairment of MIT</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$ 62</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$ 62</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(Gain) loss on disposition of property, plant and equipment</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(10)</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(5)</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5</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(15)</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6</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Other</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(24)</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13</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(24)</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7</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tcBorders>
              <w:bottom w:val="double" w:sz="6"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$ 52</w:t>
            </w:r>
          </w:p>
        </w:tc>
        <w:tc>
          <w:tcPr>
            <w:tcW w:w="0" w:type="auto"/>
            <w:tcBorders>
              <w:bottom w:val="double" w:sz="6"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(29)</w:t>
            </w:r>
          </w:p>
        </w:tc>
        <w:tc>
          <w:tcPr>
            <w:tcW w:w="0" w:type="auto"/>
            <w:tcBorders>
              <w:bottom w:val="double" w:sz="6"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$ 18</w:t>
            </w:r>
          </w:p>
        </w:tc>
        <w:tc>
          <w:tcPr>
            <w:tcW w:w="0" w:type="auto"/>
            <w:tcBorders>
              <w:bottom w:val="double" w:sz="6"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$ 23</w:t>
            </w:r>
          </w:p>
        </w:tc>
        <w:tc>
          <w:tcPr>
            <w:tcW w:w="0" w:type="auto"/>
            <w:tcBorders>
              <w:bottom w:val="double" w:sz="6"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$ 13</w:t>
            </w:r>
          </w:p>
        </w:tc>
      </w:tr>
    </w:tbl>
    <w:p w:rsidR="00C532F4" w:rsidRPr="00C532F4" w:rsidRDefault="00C532F4" w:rsidP="00C532F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C532F4">
        <w:rPr>
          <w:rFonts w:ascii="Arial" w:eastAsia="宋体" w:hAnsi="Arial" w:cs="Arial"/>
          <w:kern w:val="0"/>
          <w:sz w:val="18"/>
          <w:szCs w:val="18"/>
          <w:lang/>
        </w:rPr>
        <w:t>On February 25, 2013, the company entered into an agreement to sell Micron Technology Italia, Srl., ("MIT") a wholly-owned subsidiary, including its 200 millimeter semiconductor wafer fabrication facility assets in Avezzeno, Italy, to LFoundry Marsica S.R.L. ("LFoundry"). As consideration for the shares of MIT, the company expects to receive a long-term note from LFoundry. Under the terms of the agreements, the company will assign to LFoundry its supply agreement with Aptina Imaging Corporation ("Aptina") for CMOS image sensors manufactured at the Avezzano facility. The assets and liabilities of MIT were classified as held for sale in the second quarter of fiscal 2013 and were written down to their estimated fair values. As a result, in the second quarter of fiscal 2013, the company recorded an impairment loss of $62 million.</w:t>
      </w:r>
      <w:r w:rsidRPr="00C532F4">
        <w:rPr>
          <w:rFonts w:ascii="Arial" w:eastAsia="宋体" w:hAnsi="Arial" w:cs="Arial"/>
          <w:kern w:val="0"/>
          <w:sz w:val="18"/>
          <w:szCs w:val="18"/>
          <w:lang/>
        </w:rPr>
        <w:br/>
      </w:r>
      <w:r w:rsidRPr="00C532F4">
        <w:rPr>
          <w:rFonts w:ascii="Arial" w:eastAsia="宋体" w:hAnsi="Arial" w:cs="Arial"/>
          <w:kern w:val="0"/>
          <w:sz w:val="18"/>
          <w:szCs w:val="18"/>
          <w:lang/>
        </w:rPr>
        <w:br/>
        <w:t>Other operating income for the first quarter of fiscal 2013 included a gain of $25 million resulting from the termination of a lease by Transform Solar to a portion of the company's manufacturing facilities in Boise, Idaho.</w:t>
      </w:r>
    </w:p>
    <w:p w:rsidR="00C532F4" w:rsidRPr="00C532F4" w:rsidRDefault="00C532F4" w:rsidP="00C532F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C532F4">
        <w:rPr>
          <w:rFonts w:ascii="Arial" w:eastAsia="宋体" w:hAnsi="Arial" w:cs="Arial"/>
          <w:kern w:val="0"/>
          <w:sz w:val="18"/>
          <w:szCs w:val="18"/>
          <w:lang/>
        </w:rPr>
        <w:t>(2) Other non-operating income (expense) consisted of the following:</w:t>
      </w:r>
    </w:p>
    <w:tbl>
      <w:tblPr>
        <w:tblW w:w="0" w:type="auto"/>
        <w:tblCellSpacing w:w="45" w:type="dxa"/>
        <w:tblCellMar>
          <w:left w:w="0" w:type="dxa"/>
          <w:right w:w="0" w:type="dxa"/>
        </w:tblCellMar>
        <w:tblLook w:val="04A0"/>
      </w:tblPr>
      <w:tblGrid>
        <w:gridCol w:w="4357"/>
        <w:gridCol w:w="781"/>
        <w:gridCol w:w="781"/>
        <w:gridCol w:w="781"/>
        <w:gridCol w:w="885"/>
        <w:gridCol w:w="811"/>
      </w:tblGrid>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2nd Qtr.</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1st Qtr.</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2nd Qtr.</w:t>
            </w:r>
          </w:p>
        </w:tc>
        <w:tc>
          <w:tcPr>
            <w:tcW w:w="0" w:type="auto"/>
            <w:gridSpan w:val="2"/>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Six Months Ended</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Feb. 28,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Nov. 29,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Mar. 1,</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Feb. 28,</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Mar. 1,</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2013</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2012</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2012</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2013</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b/>
                <w:bCs/>
                <w:kern w:val="0"/>
                <w:sz w:val="18"/>
              </w:rPr>
              <w:t>2012</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Gain (loss) from changes in currency exchange rates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(127)</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(59)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(2)</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(186)</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(13)</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Loss on extinguishment of debt</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(31)</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(31)</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Gain from disposition of investments</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39</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w:t>
            </w:r>
          </w:p>
        </w:tc>
        <w:tc>
          <w:tcPr>
            <w:tcW w:w="0" w:type="auto"/>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39</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r w:rsidRPr="00C532F4">
              <w:rPr>
                <w:rFonts w:ascii="Arial" w:eastAsia="宋体" w:hAnsi="Arial" w:cs="Arial"/>
                <w:kern w:val="0"/>
                <w:sz w:val="18"/>
                <w:szCs w:val="18"/>
              </w:rPr>
              <w:t>Other</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(1)</w:t>
            </w:r>
          </w:p>
        </w:tc>
        <w:tc>
          <w:tcPr>
            <w:tcW w:w="0" w:type="auto"/>
            <w:tcBorders>
              <w:bottom w:val="single" w:sz="8"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w:t>
            </w:r>
          </w:p>
        </w:tc>
      </w:tr>
      <w:tr w:rsidR="00C532F4" w:rsidRPr="00C532F4" w:rsidTr="00C532F4">
        <w:trPr>
          <w:tblCellSpacing w:w="45" w:type="dxa"/>
        </w:trPr>
        <w:tc>
          <w:tcPr>
            <w:tcW w:w="0" w:type="auto"/>
            <w:vAlign w:val="bottom"/>
            <w:hideMark/>
          </w:tcPr>
          <w:p w:rsidR="00C532F4" w:rsidRPr="00C532F4" w:rsidRDefault="00C532F4" w:rsidP="00C532F4">
            <w:pPr>
              <w:widowControl/>
              <w:jc w:val="left"/>
              <w:rPr>
                <w:rFonts w:ascii="Arial" w:eastAsia="宋体" w:hAnsi="Arial" w:cs="Arial"/>
                <w:kern w:val="0"/>
                <w:sz w:val="18"/>
                <w:szCs w:val="18"/>
              </w:rPr>
            </w:pPr>
          </w:p>
        </w:tc>
        <w:tc>
          <w:tcPr>
            <w:tcW w:w="0" w:type="auto"/>
            <w:tcBorders>
              <w:bottom w:val="double" w:sz="6"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(159)</w:t>
            </w:r>
          </w:p>
        </w:tc>
        <w:tc>
          <w:tcPr>
            <w:tcW w:w="0" w:type="auto"/>
            <w:tcBorders>
              <w:bottom w:val="double" w:sz="6"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(59)</w:t>
            </w:r>
          </w:p>
        </w:tc>
        <w:tc>
          <w:tcPr>
            <w:tcW w:w="0" w:type="auto"/>
            <w:tcBorders>
              <w:bottom w:val="double" w:sz="6"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$ 37</w:t>
            </w:r>
          </w:p>
        </w:tc>
        <w:tc>
          <w:tcPr>
            <w:tcW w:w="0" w:type="auto"/>
            <w:tcBorders>
              <w:bottom w:val="double" w:sz="6"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(218)</w:t>
            </w:r>
          </w:p>
        </w:tc>
        <w:tc>
          <w:tcPr>
            <w:tcW w:w="0" w:type="auto"/>
            <w:tcBorders>
              <w:bottom w:val="double" w:sz="6" w:space="0" w:color="000000"/>
            </w:tcBorders>
            <w:noWrap/>
            <w:vAlign w:val="bottom"/>
            <w:hideMark/>
          </w:tcPr>
          <w:p w:rsidR="00C532F4" w:rsidRPr="00C532F4" w:rsidRDefault="00C532F4" w:rsidP="00C532F4">
            <w:pPr>
              <w:widowControl/>
              <w:jc w:val="right"/>
              <w:rPr>
                <w:rFonts w:ascii="Arial" w:eastAsia="宋体" w:hAnsi="Arial" w:cs="Arial"/>
                <w:kern w:val="0"/>
                <w:sz w:val="18"/>
                <w:szCs w:val="18"/>
              </w:rPr>
            </w:pPr>
            <w:r w:rsidRPr="00C532F4">
              <w:rPr>
                <w:rFonts w:ascii="Arial" w:eastAsia="宋体" w:hAnsi="Arial" w:cs="Arial"/>
                <w:kern w:val="0"/>
                <w:sz w:val="18"/>
                <w:szCs w:val="18"/>
              </w:rPr>
              <w:t>$ 26</w:t>
            </w:r>
          </w:p>
        </w:tc>
      </w:tr>
    </w:tbl>
    <w:p w:rsidR="00C532F4" w:rsidRPr="00C532F4" w:rsidRDefault="00C532F4" w:rsidP="00C532F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C532F4">
        <w:rPr>
          <w:rFonts w:ascii="Arial" w:eastAsia="宋体" w:hAnsi="Arial" w:cs="Arial"/>
          <w:kern w:val="0"/>
          <w:sz w:val="18"/>
          <w:szCs w:val="18"/>
          <w:lang/>
        </w:rPr>
        <w:t xml:space="preserve">Gain (loss) from changes in currency exchange rates in the second quarter and first six months of fiscal 2013 included currency losses of $120 million and $178 million, respectively, from changes in the market value of currency hedges executed in connection with the company's planned acquisition of Elpida Memory, Inc. and Rexchip Electronics Corporation. Loss from extinguishment of debt for the second quarter of fiscal 2013 included a $31 million loss recognized in connection with the partial repurchase of </w:t>
      </w:r>
      <w:r w:rsidRPr="00C532F4">
        <w:rPr>
          <w:rFonts w:ascii="Arial" w:eastAsia="宋体" w:hAnsi="Arial" w:cs="Arial"/>
          <w:kern w:val="0"/>
          <w:sz w:val="18"/>
          <w:szCs w:val="18"/>
          <w:lang/>
        </w:rPr>
        <w:lastRenderedPageBreak/>
        <w:t>the 2014 Notes.</w:t>
      </w:r>
      <w:r w:rsidRPr="00C532F4">
        <w:rPr>
          <w:rFonts w:ascii="Arial" w:eastAsia="宋体" w:hAnsi="Arial" w:cs="Arial"/>
          <w:kern w:val="0"/>
          <w:sz w:val="18"/>
          <w:szCs w:val="18"/>
          <w:lang/>
        </w:rPr>
        <w:br/>
      </w:r>
      <w:r w:rsidRPr="00C532F4">
        <w:rPr>
          <w:rFonts w:ascii="Arial" w:eastAsia="宋体" w:hAnsi="Arial" w:cs="Arial"/>
          <w:kern w:val="0"/>
          <w:sz w:val="18"/>
          <w:szCs w:val="18"/>
          <w:lang/>
        </w:rPr>
        <w:br/>
        <w:t>In order to improve comparability with the company's industry peers, gains and losses from currency exchange rates have been reclassified to from operating to non-operating. As a result, $59 million of losses for the first quarter of fiscal 2013 and $2 million and $13 million of losses for the second quarter and first six months of fiscal 2012, respectively, were reclassified from the amounts previously reported in other operating (income) expense to other non-operating income (expense).</w:t>
      </w:r>
    </w:p>
    <w:p w:rsidR="00C532F4" w:rsidRPr="00C532F4" w:rsidRDefault="00C532F4" w:rsidP="00C532F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C532F4">
        <w:rPr>
          <w:rFonts w:ascii="Arial" w:eastAsia="宋体" w:hAnsi="Arial" w:cs="Arial"/>
          <w:kern w:val="0"/>
          <w:sz w:val="18"/>
          <w:szCs w:val="18"/>
          <w:lang/>
        </w:rPr>
        <w:t>(3) Income taxes for the second quarter of fiscal 2013 included tax benefits of $19 million related to favorable adjustments in certain jurisdictions. Income taxes for the first six months of fiscal 2012 included a tax benefit of $14 million related to the favorable resolution of certain prior year tax matters. Remaining taxes in fiscal 2013 and 2012 primarily reflected taxes on the company's non-U.S. operations. The company has a valuation allowance for its net deferred tax asset associated with its U.S. operations. Taxes attributable to the company's U.S. operations in fiscal 2013 and 2012 were substantially offset by changes in the valuation allowance.</w:t>
      </w:r>
    </w:p>
    <w:p w:rsidR="00C532F4" w:rsidRPr="00C532F4" w:rsidRDefault="00C532F4" w:rsidP="00C532F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C532F4">
        <w:rPr>
          <w:rFonts w:ascii="Arial" w:eastAsia="宋体" w:hAnsi="Arial" w:cs="Arial"/>
          <w:kern w:val="0"/>
          <w:sz w:val="18"/>
          <w:szCs w:val="18"/>
          <w:lang/>
        </w:rPr>
        <w:t>(4) On February 12, 2013, the company issued $300 million of 1.625% Convertible Senior Notes with a stated maturity of February 2033 (the "2033E Notes") and $300 million of 2.125% Convertible Senior Notes with a stated maturity of February 2033 (the "2033F Notes" and, together with the 2033E Notes, the "2033 Notes"). Issuance costs for the 2033 Notes totaled $16 million. The initial conversion rates for the 2033 Notes are 91.4808 shares of common stock per $1,000 principal amount, equivalent to initial conversion prices of approximately $10.93 per share of common stock. Upon the issuance of the 2033 Notes, the company recorded $526 million of debt, $72 million of additional capital and $14 million of deferred debt issuance costs (included in other noncurrent assets). The difference between the debt recorded at inception and the principal amount ($31 million for the 2033E Notes and $43 million for the 2033F Notes) is being accreted to principal through interest expense through February 2018 for the 2033E Notes and February 2020 for the 2033F Notes, the expected life of the notes.</w:t>
      </w:r>
      <w:r w:rsidRPr="00C532F4">
        <w:rPr>
          <w:rFonts w:ascii="Arial" w:eastAsia="宋体" w:hAnsi="Arial" w:cs="Arial"/>
          <w:kern w:val="0"/>
          <w:sz w:val="18"/>
          <w:szCs w:val="18"/>
          <w:lang/>
        </w:rPr>
        <w:br/>
      </w:r>
      <w:r w:rsidRPr="00C532F4">
        <w:rPr>
          <w:rFonts w:ascii="Arial" w:eastAsia="宋体" w:hAnsi="Arial" w:cs="Arial"/>
          <w:kern w:val="0"/>
          <w:sz w:val="18"/>
          <w:szCs w:val="18"/>
          <w:lang/>
        </w:rPr>
        <w:br/>
        <w:t>Concurrent with the offering of the 2033 Notes, the company entered into capped call transactions (the "2013E Capped Calls" and "2013F Capped Calls") that have initial strike prices of approximately $10.93 per share, subject to certain adjustments, which are equal to the initial conversion prices of the 2033 Notes. The Capped Calls have cap prices of $14.51 per share and are intended to reduce the potential dilution upon conversion of the 2033E and 2033F Notes. The Capped Calls are considered capital transactions and the related cost of $48 million was recorded as a charge to additional capital.</w:t>
      </w:r>
      <w:r w:rsidRPr="00C532F4">
        <w:rPr>
          <w:rFonts w:ascii="Arial" w:eastAsia="宋体" w:hAnsi="Arial" w:cs="Arial"/>
          <w:kern w:val="0"/>
          <w:sz w:val="18"/>
          <w:szCs w:val="18"/>
          <w:lang/>
        </w:rPr>
        <w:br/>
      </w:r>
      <w:r w:rsidRPr="00C532F4">
        <w:rPr>
          <w:rFonts w:ascii="Arial" w:eastAsia="宋体" w:hAnsi="Arial" w:cs="Arial"/>
          <w:kern w:val="0"/>
          <w:sz w:val="18"/>
          <w:szCs w:val="18"/>
          <w:lang/>
        </w:rPr>
        <w:br/>
        <w:t>During the first quarter of fiscal 2013, the company entered into two credit facilities. The first was a revolving credit facility providing for borrowings of up to $255 million. Amounts drawn under the facility would be collateralized by certain accounts receivable. As of the end of the second quarter of fiscal 2013, no amounts had been drawn under the facility. The second was a term note providing for borrowings of up to $214 million. Amounts drawn under the facility are collateralized by semiconductor production equipment. As of the end of the second quarter of fiscal 2013, the note was fully drawn.</w:t>
      </w:r>
    </w:p>
    <w:p w:rsidR="00C532F4" w:rsidRPr="00C532F4" w:rsidRDefault="00C532F4" w:rsidP="00C532F4">
      <w:pPr>
        <w:widowControl/>
        <w:shd w:val="clear" w:color="auto" w:fill="FFFFFF"/>
        <w:spacing w:before="100" w:beforeAutospacing="1" w:after="100" w:afterAutospacing="1" w:line="270" w:lineRule="atLeast"/>
        <w:jc w:val="left"/>
        <w:rPr>
          <w:rFonts w:ascii="Arial" w:eastAsia="宋体" w:hAnsi="Arial" w:cs="Arial"/>
          <w:kern w:val="0"/>
          <w:sz w:val="18"/>
          <w:szCs w:val="18"/>
          <w:lang/>
        </w:rPr>
      </w:pPr>
      <w:r w:rsidRPr="00C532F4">
        <w:rPr>
          <w:rFonts w:ascii="Arial" w:eastAsia="宋体" w:hAnsi="Arial" w:cs="Arial"/>
          <w:kern w:val="0"/>
          <w:sz w:val="18"/>
          <w:szCs w:val="18"/>
          <w:lang/>
        </w:rPr>
        <w:t xml:space="preserve">(5) In connection with the offering of the 2033 Notes, the company repurchased $464 million in aggregate principal amount of its 2014 Notes for $477 million in cash in the second quarter of fiscal 2013. As a result, the company reduced debt, accrued interest and debt issuance costs by an aggregate of $431 </w:t>
      </w:r>
      <w:r w:rsidRPr="00C532F4">
        <w:rPr>
          <w:rFonts w:ascii="Arial" w:eastAsia="宋体" w:hAnsi="Arial" w:cs="Arial"/>
          <w:kern w:val="0"/>
          <w:sz w:val="18"/>
          <w:szCs w:val="18"/>
          <w:lang/>
        </w:rPr>
        <w:lastRenderedPageBreak/>
        <w:t>million; reduced equity by $15 million for the equity component of the 2014 Notes; and recognized a loss of $31 million.</w:t>
      </w:r>
    </w:p>
    <w:p w:rsidR="006F455A" w:rsidRPr="00C532F4" w:rsidRDefault="006F455A">
      <w:pPr>
        <w:rPr>
          <w:lang/>
        </w:rPr>
      </w:pPr>
    </w:p>
    <w:sectPr w:rsidR="006F455A" w:rsidRPr="00C532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55A" w:rsidRDefault="006F455A" w:rsidP="00C532F4">
      <w:r>
        <w:separator/>
      </w:r>
    </w:p>
  </w:endnote>
  <w:endnote w:type="continuationSeparator" w:id="1">
    <w:p w:rsidR="006F455A" w:rsidRDefault="006F455A" w:rsidP="00C532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55A" w:rsidRDefault="006F455A" w:rsidP="00C532F4">
      <w:r>
        <w:separator/>
      </w:r>
    </w:p>
  </w:footnote>
  <w:footnote w:type="continuationSeparator" w:id="1">
    <w:p w:rsidR="006F455A" w:rsidRDefault="006F455A" w:rsidP="00C532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2F4"/>
    <w:rsid w:val="006F455A"/>
    <w:rsid w:val="00A224BB"/>
    <w:rsid w:val="00C532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3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32F4"/>
    <w:rPr>
      <w:sz w:val="18"/>
      <w:szCs w:val="18"/>
    </w:rPr>
  </w:style>
  <w:style w:type="paragraph" w:styleId="a4">
    <w:name w:val="footer"/>
    <w:basedOn w:val="a"/>
    <w:link w:val="Char0"/>
    <w:uiPriority w:val="99"/>
    <w:semiHidden/>
    <w:unhideWhenUsed/>
    <w:rsid w:val="00C532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32F4"/>
    <w:rPr>
      <w:sz w:val="18"/>
      <w:szCs w:val="18"/>
    </w:rPr>
  </w:style>
  <w:style w:type="character" w:styleId="a5">
    <w:name w:val="Hyperlink"/>
    <w:basedOn w:val="a0"/>
    <w:uiPriority w:val="99"/>
    <w:semiHidden/>
    <w:unhideWhenUsed/>
    <w:rsid w:val="00C532F4"/>
    <w:rPr>
      <w:color w:val="0000FF"/>
      <w:u w:val="single"/>
    </w:rPr>
  </w:style>
  <w:style w:type="paragraph" w:styleId="a6">
    <w:name w:val="Normal (Web)"/>
    <w:basedOn w:val="a"/>
    <w:uiPriority w:val="99"/>
    <w:semiHidden/>
    <w:unhideWhenUsed/>
    <w:rsid w:val="00C532F4"/>
    <w:pPr>
      <w:widowControl/>
      <w:spacing w:before="100" w:beforeAutospacing="1" w:after="100" w:afterAutospacing="1"/>
      <w:jc w:val="left"/>
    </w:pPr>
    <w:rPr>
      <w:rFonts w:ascii="宋体" w:eastAsia="宋体" w:hAnsi="宋体" w:cs="宋体"/>
      <w:kern w:val="0"/>
      <w:sz w:val="18"/>
      <w:szCs w:val="18"/>
    </w:rPr>
  </w:style>
  <w:style w:type="character" w:styleId="a7">
    <w:name w:val="Strong"/>
    <w:basedOn w:val="a0"/>
    <w:uiPriority w:val="22"/>
    <w:qFormat/>
    <w:rsid w:val="00C532F4"/>
    <w:rPr>
      <w:b/>
      <w:bCs/>
    </w:rPr>
  </w:style>
  <w:style w:type="paragraph" w:styleId="a8">
    <w:name w:val="Balloon Text"/>
    <w:basedOn w:val="a"/>
    <w:link w:val="Char1"/>
    <w:uiPriority w:val="99"/>
    <w:semiHidden/>
    <w:unhideWhenUsed/>
    <w:rsid w:val="00C532F4"/>
    <w:rPr>
      <w:sz w:val="18"/>
      <w:szCs w:val="18"/>
    </w:rPr>
  </w:style>
  <w:style w:type="character" w:customStyle="1" w:styleId="Char1">
    <w:name w:val="批注框文本 Char"/>
    <w:basedOn w:val="a0"/>
    <w:link w:val="a8"/>
    <w:uiPriority w:val="99"/>
    <w:semiHidden/>
    <w:rsid w:val="00C532F4"/>
    <w:rPr>
      <w:sz w:val="18"/>
      <w:szCs w:val="18"/>
    </w:rPr>
  </w:style>
</w:styles>
</file>

<file path=word/webSettings.xml><?xml version="1.0" encoding="utf-8"?>
<w:webSettings xmlns:r="http://schemas.openxmlformats.org/officeDocument/2006/relationships" xmlns:w="http://schemas.openxmlformats.org/wordprocessingml/2006/main">
  <w:divs>
    <w:div w:id="109595338">
      <w:bodyDiv w:val="1"/>
      <w:marLeft w:val="0"/>
      <w:marRight w:val="0"/>
      <w:marTop w:val="300"/>
      <w:marBottom w:val="300"/>
      <w:divBdr>
        <w:top w:val="none" w:sz="0" w:space="0" w:color="auto"/>
        <w:left w:val="none" w:sz="0" w:space="0" w:color="auto"/>
        <w:bottom w:val="none" w:sz="0" w:space="0" w:color="auto"/>
        <w:right w:val="none" w:sz="0" w:space="0" w:color="auto"/>
      </w:divBdr>
      <w:divsChild>
        <w:div w:id="1502544296">
          <w:marLeft w:val="0"/>
          <w:marRight w:val="0"/>
          <w:marTop w:val="0"/>
          <w:marBottom w:val="0"/>
          <w:divBdr>
            <w:top w:val="none" w:sz="0" w:space="0" w:color="auto"/>
            <w:left w:val="none" w:sz="0" w:space="0" w:color="auto"/>
            <w:bottom w:val="none" w:sz="0" w:space="0" w:color="auto"/>
            <w:right w:val="none" w:sz="0" w:space="0" w:color="auto"/>
          </w:divBdr>
          <w:divsChild>
            <w:div w:id="1281761965">
              <w:marLeft w:val="0"/>
              <w:marRight w:val="0"/>
              <w:marTop w:val="0"/>
              <w:marBottom w:val="0"/>
              <w:divBdr>
                <w:top w:val="none" w:sz="0" w:space="0" w:color="auto"/>
                <w:left w:val="none" w:sz="0" w:space="0" w:color="auto"/>
                <w:bottom w:val="none" w:sz="0" w:space="0" w:color="auto"/>
                <w:right w:val="none" w:sz="0" w:space="0" w:color="auto"/>
              </w:divBdr>
              <w:divsChild>
                <w:div w:id="1283076138">
                  <w:marLeft w:val="0"/>
                  <w:marRight w:val="0"/>
                  <w:marTop w:val="0"/>
                  <w:marBottom w:val="0"/>
                  <w:divBdr>
                    <w:top w:val="none" w:sz="0" w:space="0" w:color="auto"/>
                    <w:left w:val="none" w:sz="0" w:space="0" w:color="auto"/>
                    <w:bottom w:val="none" w:sz="0" w:space="0" w:color="auto"/>
                    <w:right w:val="none" w:sz="0" w:space="0" w:color="auto"/>
                  </w:divBdr>
                  <w:divsChild>
                    <w:div w:id="1260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77671">
          <w:marLeft w:val="0"/>
          <w:marRight w:val="0"/>
          <w:marTop w:val="0"/>
          <w:marBottom w:val="0"/>
          <w:divBdr>
            <w:top w:val="none" w:sz="0" w:space="0" w:color="auto"/>
            <w:left w:val="none" w:sz="0" w:space="0" w:color="auto"/>
            <w:bottom w:val="none" w:sz="0" w:space="0" w:color="auto"/>
            <w:right w:val="none" w:sz="0" w:space="0" w:color="auto"/>
          </w:divBdr>
          <w:divsChild>
            <w:div w:id="715087401">
              <w:marLeft w:val="0"/>
              <w:marRight w:val="0"/>
              <w:marTop w:val="0"/>
              <w:marBottom w:val="0"/>
              <w:divBdr>
                <w:top w:val="none" w:sz="0" w:space="0" w:color="auto"/>
                <w:left w:val="none" w:sz="0" w:space="0" w:color="auto"/>
                <w:bottom w:val="none" w:sz="0" w:space="0" w:color="auto"/>
                <w:right w:val="none" w:sz="0" w:space="0" w:color="auto"/>
              </w:divBdr>
              <w:divsChild>
                <w:div w:id="1039667105">
                  <w:marLeft w:val="150"/>
                  <w:marRight w:val="300"/>
                  <w:marTop w:val="0"/>
                  <w:marBottom w:val="0"/>
                  <w:divBdr>
                    <w:top w:val="none" w:sz="0" w:space="0" w:color="auto"/>
                    <w:left w:val="none" w:sz="0" w:space="0" w:color="auto"/>
                    <w:bottom w:val="none" w:sz="0" w:space="0" w:color="auto"/>
                    <w:right w:val="none" w:sz="0" w:space="0" w:color="auto"/>
                  </w:divBdr>
                  <w:divsChild>
                    <w:div w:id="1836722631">
                      <w:marLeft w:val="0"/>
                      <w:marRight w:val="0"/>
                      <w:marTop w:val="75"/>
                      <w:marBottom w:val="225"/>
                      <w:divBdr>
                        <w:top w:val="none" w:sz="0" w:space="0" w:color="auto"/>
                        <w:left w:val="none" w:sz="0" w:space="0" w:color="auto"/>
                        <w:bottom w:val="none" w:sz="0" w:space="0" w:color="auto"/>
                        <w:right w:val="none" w:sz="0" w:space="0" w:color="auto"/>
                      </w:divBdr>
                      <w:divsChild>
                        <w:div w:id="3863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1887</Words>
  <Characters>10757</Characters>
  <Application>Microsoft Office Word</Application>
  <DocSecurity>0</DocSecurity>
  <Lines>89</Lines>
  <Paragraphs>25</Paragraphs>
  <ScaleCrop>false</ScaleCrop>
  <Company>CFM</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dc:creator>
  <cp:keywords/>
  <dc:description/>
  <cp:lastModifiedBy>CFM</cp:lastModifiedBy>
  <cp:revision>7</cp:revision>
  <dcterms:created xsi:type="dcterms:W3CDTF">2013-03-22T04:56:00Z</dcterms:created>
  <dcterms:modified xsi:type="dcterms:W3CDTF">2013-03-22T04:58:00Z</dcterms:modified>
</cp:coreProperties>
</file>